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9"/>
        <w:gridCol w:w="987"/>
        <w:gridCol w:w="1699"/>
        <w:gridCol w:w="3115"/>
      </w:tblGrid>
      <w:tr w:rsidR="004C02B0" w:rsidTr="008D352D">
        <w:tc>
          <w:tcPr>
            <w:tcW w:w="3115" w:type="dxa"/>
          </w:tcPr>
          <w:p w:rsidR="004C02B0" w:rsidRPr="00E11B1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  <w:object w:dxaOrig="922" w:dyaOrig="1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.75pt" o:ole="" fillcolor="window">
                  <v:imagedata r:id="rId5" o:title=""/>
                </v:shape>
                <o:OLEObject Type="Embed" ProgID="Word.Picture.8" ShapeID="_x0000_i1025" DrawAspect="Content" ObjectID="_1828167320" r:id="rId6"/>
              </w:object>
            </w:r>
          </w:p>
        </w:tc>
        <w:tc>
          <w:tcPr>
            <w:tcW w:w="3115" w:type="dxa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9345" w:type="dxa"/>
            <w:gridSpan w:val="5"/>
          </w:tcPr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Къэбэрдей-Балъкъэр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Шэджэм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районым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щIыпIэ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администрацэ</w:t>
            </w:r>
            <w:proofErr w:type="spellEnd"/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Къабарты-Малкъар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Республиканы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Чегем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районуну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жер-жерли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администрациясы</w:t>
            </w:r>
            <w:proofErr w:type="spellEnd"/>
          </w:p>
          <w:p w:rsidR="004C02B0" w:rsidRPr="00EB3E1D" w:rsidRDefault="004C02B0" w:rsidP="008D352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ЧЕГЕМСКОГО МУНИЦИПАЛЬНОГО РАЙОНА</w:t>
            </w:r>
          </w:p>
          <w:p w:rsidR="004C02B0" w:rsidRPr="00EB3E1D" w:rsidRDefault="004C02B0" w:rsidP="008D352D">
            <w:pPr>
              <w:tabs>
                <w:tab w:val="center" w:pos="4416"/>
                <w:tab w:val="left" w:pos="6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Кабардино-Балкарской Республики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______________________________</w:t>
            </w: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4531" w:type="dxa"/>
            <w:gridSpan w:val="3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ПОСТАНОВЛЕНЭ 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БЕГИМ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2B0" w:rsidRPr="00EB3E1D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14" w:type="dxa"/>
            <w:gridSpan w:val="2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6EF1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B85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F5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2060-па</w:t>
            </w:r>
          </w:p>
        </w:tc>
      </w:tr>
      <w:tr w:rsidR="004C02B0" w:rsidTr="008D352D">
        <w:tc>
          <w:tcPr>
            <w:tcW w:w="3115" w:type="dxa"/>
          </w:tcPr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02B0" w:rsidRDefault="004C02B0" w:rsidP="00B60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RPr="00D54502" w:rsidTr="004C02B0">
        <w:tc>
          <w:tcPr>
            <w:tcW w:w="3544" w:type="dxa"/>
            <w:gridSpan w:val="2"/>
          </w:tcPr>
          <w:p w:rsidR="00B60454" w:rsidRDefault="00B60454" w:rsidP="00F87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1D1C0D" w:rsidP="00B85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B85BA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F504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85BA1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504E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  <w:bookmarkStart w:id="0" w:name="_GoBack"/>
            <w:bookmarkEnd w:id="0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BA19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C02B0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86" w:type="dxa"/>
            <w:gridSpan w:val="2"/>
          </w:tcPr>
          <w:p w:rsidR="004C02B0" w:rsidRPr="00D54502" w:rsidRDefault="004C02B0" w:rsidP="008D35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B60454" w:rsidRDefault="00B60454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4C02B0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. Чегем</w:t>
            </w:r>
          </w:p>
        </w:tc>
      </w:tr>
    </w:tbl>
    <w:p w:rsidR="00F873AB" w:rsidRPr="00D54502" w:rsidRDefault="00F873AB" w:rsidP="00F73123">
      <w:pPr>
        <w:tabs>
          <w:tab w:val="left" w:pos="5245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2EC4" w:rsidRDefault="00932EC4" w:rsidP="004F4D39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BA1" w:rsidRPr="005C61DD" w:rsidRDefault="00B85BA1" w:rsidP="00B85BA1">
      <w:pPr>
        <w:pStyle w:val="30"/>
        <w:shd w:val="clear" w:color="auto" w:fill="auto"/>
        <w:spacing w:before="0" w:after="0" w:line="317" w:lineRule="exact"/>
        <w:ind w:right="4860"/>
        <w:jc w:val="both"/>
        <w:rPr>
          <w:rFonts w:eastAsia="Arial Unicode MS"/>
          <w:b w:val="0"/>
          <w:lang w:eastAsia="ru-RU"/>
        </w:rPr>
      </w:pPr>
      <w:r w:rsidRPr="005C61DD">
        <w:rPr>
          <w:rFonts w:eastAsia="Arial Unicode MS"/>
          <w:b w:val="0"/>
          <w:color w:val="000000"/>
          <w:lang w:eastAsia="ru-RU"/>
        </w:rPr>
        <w:t xml:space="preserve">Об утверждении технических требований к размещению и внешнему виду нестационарных торговых объектов на территории Чегемского </w:t>
      </w:r>
      <w:r w:rsidR="006C79DD">
        <w:rPr>
          <w:rFonts w:eastAsia="Arial Unicode MS"/>
          <w:b w:val="0"/>
          <w:color w:val="000000"/>
          <w:lang w:eastAsia="ru-RU"/>
        </w:rPr>
        <w:t xml:space="preserve">муниципального </w:t>
      </w:r>
      <w:r w:rsidRPr="005C61DD">
        <w:rPr>
          <w:rFonts w:eastAsia="Arial Unicode MS"/>
          <w:b w:val="0"/>
          <w:color w:val="000000"/>
          <w:lang w:eastAsia="ru-RU"/>
        </w:rPr>
        <w:t>района КБР</w:t>
      </w:r>
    </w:p>
    <w:p w:rsidR="00B60454" w:rsidRPr="00B60454" w:rsidRDefault="00B60454" w:rsidP="004F4D39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B65" w:rsidRPr="00165B65" w:rsidRDefault="00165B65" w:rsidP="00165B6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B65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28.12.2009 №</w:t>
      </w:r>
      <w:r w:rsidR="000573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65B65">
        <w:rPr>
          <w:rFonts w:ascii="Times New Roman" w:eastAsia="Calibri" w:hAnsi="Times New Roman" w:cs="Times New Roman"/>
          <w:sz w:val="26"/>
          <w:szCs w:val="26"/>
          <w:lang w:eastAsia="ru-RU"/>
        </w:rPr>
        <w:t>381-ФЗ «Об основах государственного регулирования торговой деятельности в Российской Федерации»</w:t>
      </w:r>
      <w:r w:rsidR="00057300">
        <w:rPr>
          <w:rFonts w:ascii="Times New Roman" w:eastAsia="Calibri" w:hAnsi="Times New Roman" w:cs="Times New Roman"/>
          <w:sz w:val="26"/>
          <w:szCs w:val="26"/>
          <w:lang w:eastAsia="ru-RU"/>
        </w:rPr>
        <w:t>, Федеральным законом от 20.03.2025 №33-ФЗ «</w:t>
      </w:r>
      <w:r w:rsidR="00057300" w:rsidRPr="00057300">
        <w:rPr>
          <w:rFonts w:ascii="Times New Roman" w:eastAsia="Calibri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057300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165B65">
        <w:rPr>
          <w:rFonts w:ascii="Times New Roman" w:eastAsia="Calibri" w:hAnsi="Times New Roman" w:cs="Times New Roman"/>
          <w:sz w:val="26"/>
          <w:szCs w:val="26"/>
          <w:lang w:eastAsia="ru-RU"/>
        </w:rPr>
        <w:t>, Федеральным законом от 26.07.2006 №</w:t>
      </w:r>
      <w:r w:rsidR="000573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65B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135-ФЗ «О защите конкуренции», постановлением местной администрации Чегемского муниципального района от 20.09.2013 №417-па «О порядке разработки и утверждения схемы размещения нестационарных торговых объектов на территории Чегемского муниципального района» </w:t>
      </w:r>
      <w:r w:rsidRPr="00165B65">
        <w:rPr>
          <w:rFonts w:ascii="Times New Roman" w:eastAsia="Times New Roman" w:hAnsi="Times New Roman" w:cs="Times New Roman"/>
          <w:sz w:val="28"/>
          <w:szCs w:val="28"/>
        </w:rPr>
        <w:t>местная администрация Чегемского муниципального района постановляет:</w:t>
      </w:r>
    </w:p>
    <w:p w:rsidR="005C61DD" w:rsidRPr="005C61DD" w:rsidRDefault="00685786" w:rsidP="005C61DD">
      <w:pPr>
        <w:pStyle w:val="21"/>
        <w:numPr>
          <w:ilvl w:val="0"/>
          <w:numId w:val="10"/>
        </w:numPr>
        <w:shd w:val="clear" w:color="auto" w:fill="auto"/>
        <w:tabs>
          <w:tab w:val="left" w:pos="974"/>
        </w:tabs>
        <w:spacing w:before="0" w:after="0" w:line="317" w:lineRule="exact"/>
        <w:ind w:firstLine="620"/>
        <w:jc w:val="both"/>
      </w:pPr>
      <w:r>
        <w:rPr>
          <w:rFonts w:eastAsia="Times New Roman"/>
        </w:rPr>
        <w:t xml:space="preserve"> </w:t>
      </w:r>
      <w:r w:rsidR="005C61DD" w:rsidRPr="005C61DD">
        <w:rPr>
          <w:color w:val="000000"/>
        </w:rPr>
        <w:t>Утвердить технические требования к размещению и внешнему виду нестационарных торговых объектов на территории Чегемского</w:t>
      </w:r>
      <w:r w:rsidR="00454945">
        <w:rPr>
          <w:color w:val="000000"/>
        </w:rPr>
        <w:t xml:space="preserve"> муниципального</w:t>
      </w:r>
      <w:r w:rsidR="005C61DD" w:rsidRPr="005C61DD">
        <w:rPr>
          <w:color w:val="000000"/>
        </w:rPr>
        <w:t xml:space="preserve"> района КБР (приложение № 1).</w:t>
      </w:r>
    </w:p>
    <w:p w:rsidR="00B60454" w:rsidRPr="00B60454" w:rsidRDefault="005C61DD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в районной газете «Голос Чегема».</w:t>
      </w:r>
    </w:p>
    <w:p w:rsidR="00B60454" w:rsidRPr="00B60454" w:rsidRDefault="005C61DD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Times New Roman" w:eastAsia="Times New Roman" w:hAnsi="Times New Roman" w:cs="Times New Roman"/>
          <w:sz w:val="28"/>
          <w:szCs w:val="28"/>
        </w:rPr>
        <w:t>местной администрации Чегемского района КБР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Псуноков</w:t>
      </w:r>
      <w:proofErr w:type="spellEnd"/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00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54" w:rsidRP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Pr="00B6045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EC0" w:rsidRPr="00B60454" w:rsidRDefault="00DF3EC0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AC">
        <w:rPr>
          <w:rFonts w:ascii="Times New Roman" w:eastAsia="Times New Roman" w:hAnsi="Times New Roman" w:cs="Times New Roman"/>
          <w:sz w:val="28"/>
          <w:szCs w:val="28"/>
        </w:rPr>
        <w:t>Заместитель главы местной администрации</w:t>
      </w: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AC">
        <w:rPr>
          <w:rFonts w:ascii="Times New Roman" w:eastAsia="Times New Roman" w:hAnsi="Times New Roman" w:cs="Times New Roman"/>
          <w:sz w:val="28"/>
          <w:szCs w:val="28"/>
        </w:rPr>
        <w:t xml:space="preserve">Чегемского муниципального района     </w:t>
      </w: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AC">
        <w:rPr>
          <w:rFonts w:ascii="Times New Roman" w:eastAsia="Times New Roman" w:hAnsi="Times New Roman" w:cs="Times New Roman"/>
          <w:sz w:val="28"/>
          <w:szCs w:val="28"/>
        </w:rPr>
        <w:t>по экономическим вопросам</w:t>
      </w:r>
      <w:r w:rsidRPr="00F751AC">
        <w:rPr>
          <w:rFonts w:ascii="Times New Roman" w:eastAsia="Times New Roman" w:hAnsi="Times New Roman" w:cs="Times New Roman"/>
          <w:sz w:val="28"/>
          <w:szCs w:val="28"/>
        </w:rPr>
        <w:tab/>
      </w:r>
      <w:r w:rsidRPr="00F751AC">
        <w:rPr>
          <w:rFonts w:ascii="Times New Roman" w:eastAsia="Times New Roman" w:hAnsi="Times New Roman" w:cs="Times New Roman"/>
          <w:sz w:val="28"/>
          <w:szCs w:val="28"/>
        </w:rPr>
        <w:tab/>
      </w:r>
      <w:r w:rsidRPr="00F751AC">
        <w:rPr>
          <w:rFonts w:ascii="Times New Roman" w:eastAsia="Times New Roman" w:hAnsi="Times New Roman" w:cs="Times New Roman"/>
          <w:sz w:val="28"/>
          <w:szCs w:val="28"/>
        </w:rPr>
        <w:tab/>
      </w:r>
      <w:r w:rsidRPr="00F751A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А. </w:t>
      </w:r>
      <w:proofErr w:type="spellStart"/>
      <w:r w:rsidRPr="00F751AC">
        <w:rPr>
          <w:rFonts w:ascii="Times New Roman" w:eastAsia="Times New Roman" w:hAnsi="Times New Roman" w:cs="Times New Roman"/>
          <w:sz w:val="28"/>
          <w:szCs w:val="28"/>
        </w:rPr>
        <w:t>Губжоков</w:t>
      </w:r>
      <w:proofErr w:type="spellEnd"/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51AC">
        <w:rPr>
          <w:rFonts w:ascii="Times New Roman" w:eastAsia="Times New Roman" w:hAnsi="Times New Roman" w:cs="Times New Roman"/>
          <w:sz w:val="24"/>
          <w:szCs w:val="24"/>
        </w:rPr>
        <w:t>Сасиков</w:t>
      </w:r>
      <w:proofErr w:type="spellEnd"/>
      <w:r w:rsidRPr="00F751AC">
        <w:rPr>
          <w:rFonts w:ascii="Times New Roman" w:eastAsia="Times New Roman" w:hAnsi="Times New Roman" w:cs="Times New Roman"/>
          <w:sz w:val="24"/>
          <w:szCs w:val="24"/>
        </w:rPr>
        <w:t xml:space="preserve"> К.Х.</w:t>
      </w: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51AC">
        <w:rPr>
          <w:rFonts w:ascii="Times New Roman" w:eastAsia="Times New Roman" w:hAnsi="Times New Roman" w:cs="Times New Roman"/>
          <w:sz w:val="24"/>
          <w:szCs w:val="24"/>
        </w:rPr>
        <w:t>Тамазов</w:t>
      </w:r>
      <w:proofErr w:type="spellEnd"/>
      <w:r w:rsidRPr="00F751AC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1AC" w:rsidRPr="00F751AC" w:rsidRDefault="00F751AC" w:rsidP="00F7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1AC">
        <w:rPr>
          <w:rFonts w:ascii="Times New Roman" w:eastAsia="Times New Roman" w:hAnsi="Times New Roman" w:cs="Times New Roman"/>
          <w:sz w:val="24"/>
          <w:szCs w:val="24"/>
        </w:rPr>
        <w:t>Асанова М.М.</w:t>
      </w:r>
    </w:p>
    <w:p w:rsidR="00500033" w:rsidRDefault="00500033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61DD" w:rsidRDefault="005C61DD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3ED7" w:rsidRDefault="00007272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F70A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3C3A8E" w:rsidRDefault="003C3A8E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от «___» _______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__202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г. №_________</w:t>
      </w:r>
    </w:p>
    <w:p w:rsidR="00B60454" w:rsidRPr="00F065FC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DCE" w:rsidRDefault="00F71DCE" w:rsidP="005C61DD">
      <w:pPr>
        <w:widowControl w:val="0"/>
        <w:spacing w:after="0" w:line="280" w:lineRule="exact"/>
        <w:ind w:lef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DCE" w:rsidRDefault="00F71DCE" w:rsidP="005C61DD">
      <w:pPr>
        <w:widowControl w:val="0"/>
        <w:spacing w:after="0" w:line="280" w:lineRule="exact"/>
        <w:ind w:left="2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1DD" w:rsidRPr="005C61DD" w:rsidRDefault="005C61DD" w:rsidP="005C61DD">
      <w:pPr>
        <w:widowControl w:val="0"/>
        <w:spacing w:after="0" w:line="280" w:lineRule="exact"/>
        <w:ind w:left="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ТЕХНИЧЕСКИЕ ТРЕБОВАНИЯ</w:t>
      </w:r>
    </w:p>
    <w:p w:rsidR="005C61DD" w:rsidRPr="005C61DD" w:rsidRDefault="005C61DD" w:rsidP="005C61DD">
      <w:pPr>
        <w:widowControl w:val="0"/>
        <w:spacing w:after="303" w:line="280" w:lineRule="exact"/>
        <w:ind w:left="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5C61D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размещению и внешнему виду нестационарных торговых объектов</w:t>
      </w:r>
    </w:p>
    <w:p w:rsidR="005C61DD" w:rsidRPr="005C61DD" w:rsidRDefault="005C61DD" w:rsidP="00FE38FF">
      <w:pPr>
        <w:widowControl w:val="0"/>
        <w:numPr>
          <w:ilvl w:val="0"/>
          <w:numId w:val="11"/>
        </w:numPr>
        <w:tabs>
          <w:tab w:val="left" w:pos="123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Технические требования к размещению и внешнему виду нестационарных торговых объектов (далее - Требования к размещению) на территории Чегемского </w:t>
      </w:r>
      <w:r w:rsidR="00FE38F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района КБР разрабатываются с целью:</w:t>
      </w:r>
    </w:p>
    <w:p w:rsidR="005C61DD" w:rsidRPr="00FE38FF" w:rsidRDefault="00FE38FF" w:rsidP="00FE38FF">
      <w:pPr>
        <w:widowControl w:val="0"/>
        <w:tabs>
          <w:tab w:val="left" w:pos="1124"/>
        </w:tabs>
        <w:spacing w:after="0" w:line="317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- </w:t>
      </w:r>
      <w:r w:rsidR="005C61DD"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соответствия размещаемых объектов действующим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r w:rsidR="005C61DD"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радостроительным,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</w:t>
      </w:r>
      <w:r w:rsidR="005C61DD"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троительным, архитектурным, пожарным, санитарным 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1DD"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иным нормам, правилам;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5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упорядочения размещения нестационарных торговых объектов, а также</w:t>
      </w:r>
      <w:r w:rsidR="00C35F9D"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необходимостью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обеспечения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населения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продовольственными,</w:t>
      </w:r>
      <w:r w:rsid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непродовольственным товарами и бытовыми услугами, обеспечения</w:t>
      </w:r>
      <w:r w:rsid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доступности товаров и услуг, достижения нормативов минимальной обеспеченности населения площадью торговых объектов;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29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обеспечения единства требований к организации торговой деятельности при размещении НТО на территории Чегемского</w:t>
      </w:r>
      <w:r w:rsid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района КБР;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5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соблюдения единства архитектурного облика;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24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формирования торговой инфраструктуры с учетом видов и типов торговых объектов, форм и способов торговли.</w:t>
      </w:r>
    </w:p>
    <w:p w:rsidR="005C61DD" w:rsidRPr="005C61DD" w:rsidRDefault="005C61DD" w:rsidP="00FE38FF">
      <w:pPr>
        <w:widowControl w:val="0"/>
        <w:numPr>
          <w:ilvl w:val="0"/>
          <w:numId w:val="11"/>
        </w:numPr>
        <w:tabs>
          <w:tab w:val="left" w:pos="126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Требования к размещению включают в себя: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5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требования (ограничения) к месту размещения НТО;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24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требования, применяемые к внешнему виду размещаемых НТО, в том числе архитектурный тип НТО, стилевое оформление с использованием логотипа или символики региона, цветовое оформление НТО;</w:t>
      </w:r>
    </w:p>
    <w:p w:rsidR="005C61DD" w:rsidRPr="005C61DD" w:rsidRDefault="005C61DD" w:rsidP="00FE38FF">
      <w:pPr>
        <w:widowControl w:val="0"/>
        <w:numPr>
          <w:ilvl w:val="0"/>
          <w:numId w:val="12"/>
        </w:numPr>
        <w:tabs>
          <w:tab w:val="left" w:pos="115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типовой размер НТО в зависимости от вида реализуемых товаров.</w:t>
      </w:r>
    </w:p>
    <w:p w:rsidR="005C61DD" w:rsidRPr="005C61DD" w:rsidRDefault="005C61DD" w:rsidP="00FE38FF">
      <w:pPr>
        <w:widowControl w:val="0"/>
        <w:numPr>
          <w:ilvl w:val="0"/>
          <w:numId w:val="11"/>
        </w:numPr>
        <w:tabs>
          <w:tab w:val="left" w:pos="1260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Ограничения к месту размещения НТО:</w:t>
      </w:r>
    </w:p>
    <w:p w:rsidR="005C61DD" w:rsidRPr="005C61DD" w:rsidRDefault="005C61DD" w:rsidP="00FE38FF">
      <w:pPr>
        <w:widowControl w:val="0"/>
        <w:numPr>
          <w:ilvl w:val="1"/>
          <w:numId w:val="11"/>
        </w:numPr>
        <w:tabs>
          <w:tab w:val="left" w:pos="1441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Размещать НТО таким образом, чтобы доступ к проездным путям был свободным и обеспечивал беспрепятственный проезд транспорта </w:t>
      </w:r>
      <w:r w:rsidR="00C35F9D"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аварийно-спасательных</w:t>
      </w: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служб и машин скорой помощи, проход работников указанных служб.</w:t>
      </w:r>
    </w:p>
    <w:p w:rsidR="005C61DD" w:rsidRPr="005C61DD" w:rsidRDefault="005C61DD" w:rsidP="00FE38FF">
      <w:pPr>
        <w:widowControl w:val="0"/>
        <w:numPr>
          <w:ilvl w:val="1"/>
          <w:numId w:val="11"/>
        </w:numPr>
        <w:tabs>
          <w:tab w:val="left" w:pos="1441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 размещать на газонах, цветниках, площадках (детских, отдыха, спортивных).</w:t>
      </w:r>
    </w:p>
    <w:p w:rsidR="005C61DD" w:rsidRPr="005C61DD" w:rsidRDefault="005C61DD" w:rsidP="00FE38FF">
      <w:pPr>
        <w:widowControl w:val="0"/>
        <w:numPr>
          <w:ilvl w:val="1"/>
          <w:numId w:val="11"/>
        </w:numPr>
        <w:tabs>
          <w:tab w:val="left" w:pos="1446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Не размещать на земельных участках, нормативно утвержденное </w:t>
      </w: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целевое </w:t>
      </w:r>
      <w:r w:rsidR="00C35F9D"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использование,</w:t>
      </w: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которых не допускает размещение НТО.</w:t>
      </w:r>
    </w:p>
    <w:p w:rsidR="005C61DD" w:rsidRPr="005C61DD" w:rsidRDefault="005C61DD" w:rsidP="00FE38FF">
      <w:pPr>
        <w:widowControl w:val="0"/>
        <w:numPr>
          <w:ilvl w:val="1"/>
          <w:numId w:val="11"/>
        </w:numPr>
        <w:tabs>
          <w:tab w:val="left" w:pos="1446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 размещать в полосах отвода автомобильных дорог, кроме объектов дорожного сервиса без согласования соответствующих служб.</w:t>
      </w:r>
    </w:p>
    <w:p w:rsidR="005C61DD" w:rsidRPr="005C61DD" w:rsidRDefault="005C61DD" w:rsidP="00FE38FF">
      <w:pPr>
        <w:widowControl w:val="0"/>
        <w:numPr>
          <w:ilvl w:val="1"/>
          <w:numId w:val="11"/>
        </w:numPr>
        <w:tabs>
          <w:tab w:val="left" w:pos="1466"/>
        </w:tabs>
        <w:spacing w:after="0" w:line="317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C6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 размещать в арках зданий, на дворовых территориях жилых зданий.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73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 размещать в случае, если размещение НТО препятствует свободному подъезду пожарной, аварийно-спасательной техники или доступу к объектам инженерной инфраструктуры.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73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Размещение в зоне охраны объектов культурного наследия возможно при согласовании со службой государственной охраны объектов культурного наследия.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73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размещении НТО не допускается вырубка кустарников, древесной растительности, асфальтирование или сплошное мощение приствольных кругов в радиусе 1,5 метров от ствола.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73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Размещение должно обеспечивать свободное движение пешеходов и доступ потребителей к торговым объектам, в том числе обеспечение </w:t>
      </w:r>
      <w:r w:rsidR="00C35F9D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без барьерной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среды жизнедеятельности для инвалидов и иных маломобильных групп населения.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527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Размещение должно обеспечивать удобный подъезд автотранспорта, не создающий помех для прохода пешеходов, разгрузку товара следует осуществлять без заезда автомашин на тротуар.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532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Размещение должно обеспечивать сохранение ширины пешеходной части тротуара для обеспечения безопасного прохода пешеходов не менее 2,5 м.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27"/>
        </w:tabs>
        <w:spacing w:after="0" w:line="317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Расстояние от края проезжей части до нестационарного торгового объекта должно составлять не менее 3,0 м.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27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Расстояние от окон жилых и общественных зданий не менее 20 метров, от витрин стационарных торговых объектов не менее 5,0 м.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27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Расстояние от мест сбора мусора и пищевых отходов, дворовых уборных, выгребных ям не менее 25 метров.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32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случаях размещения НТО в пределах красных линий улиц и дорог их размещение возможно только на замощенной (асфальтированной) площадке в границах тротуара и при условии свободной ширины прохода по тротуару по основному ходу движения пешеходов не менее 2,5 метров, а в поперечном направлении и от крайнего элемента объекта до края проезжей части не менее 1,5 метров.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651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НТО не могут размещаться на земельных участках, нормативно утвержденное целевое </w:t>
      </w:r>
      <w:r w:rsidR="00C35F9D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использование,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которых не допускает размещение НТО.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651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Размещение на прилегающей к НТО территории холодильного оборудования, столиков, зонтиков и других объектов, за исключением случаев, когда размещение подобных объектов предусмотрено архитектурным решением НТО, не допускается.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651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 размещении НТО в зоне охраны инженерных коммуникаций необходимы согласования организаций, осуществляющих 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эксплуатацию </w:t>
      </w:r>
      <w:r w:rsidR="00C35F9D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инженерно-технического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обеспечения и органов надзора.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27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НТО, для которых, исходя из их функционального назначения, а также по санитарно-гигиеническим требованиям и нормативам, требуется подключение к сетям водоснабжения и водоотведения, могут размещаться вблизи инженерных коммуникаций при наличии технической возможности подключения при условии согласования с организациями, эксплуатирующими сети и получении технических условий.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27"/>
        </w:tabs>
        <w:spacing w:after="0" w:line="322" w:lineRule="exact"/>
        <w:ind w:firstLine="9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Объекты по продаже строительных материалов могут размещаться на земельных участках, свободных от обременений, в коридорах воздушных</w:t>
      </w:r>
      <w:r w:rsid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F9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высоковольтных ЛЭП (при условии согласования эксплуатирующих ЛЭП организаций).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27"/>
        </w:tabs>
        <w:spacing w:after="0" w:line="32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Размещение НТО осуществляется с учетом соблюдения требований ст. 19 Федерального закона от 23.02.2013 № 15-ФЗ «Об охране здоровья граждан от воздействия окружающего табачного дыма и последствий потребления табака».</w:t>
      </w:r>
    </w:p>
    <w:p w:rsidR="008C2F37" w:rsidRPr="008C2F37" w:rsidRDefault="008C2F37" w:rsidP="00FE38FF">
      <w:pPr>
        <w:widowControl w:val="0"/>
        <w:numPr>
          <w:ilvl w:val="0"/>
          <w:numId w:val="13"/>
        </w:numPr>
        <w:tabs>
          <w:tab w:val="left" w:pos="1548"/>
        </w:tabs>
        <w:spacing w:after="0" w:line="32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Запрещено размещение НТО в местах, не включенных в Схему.</w:t>
      </w:r>
    </w:p>
    <w:p w:rsidR="008C2F37" w:rsidRPr="008C2F37" w:rsidRDefault="008C2F37" w:rsidP="00FE38FF">
      <w:pPr>
        <w:widowControl w:val="0"/>
        <w:numPr>
          <w:ilvl w:val="0"/>
          <w:numId w:val="11"/>
        </w:numPr>
        <w:tabs>
          <w:tab w:val="left" w:pos="1214"/>
        </w:tabs>
        <w:spacing w:after="0" w:line="32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Требования, применяемые к внешнему виду размещаемых НТО, в том числе архитектурный тип НТО, стилевое оформление с использованием логотипа или символики региона, цветовое оформление НТО исходят из принципов удобства и функциональности осуществления торговой деятельности, возможности использования типового серийного торгового оборудования, имеющегося на рынке, широко распространенных материалов, минимизации расходов хозяйствующего субъекта.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38"/>
        </w:tabs>
        <w:spacing w:after="0" w:line="32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Виды размещаемых НТО:</w:t>
      </w:r>
    </w:p>
    <w:p w:rsidR="008C2F37" w:rsidRPr="008C2F37" w:rsidRDefault="00C35F9D" w:rsidP="00C35F9D">
      <w:pPr>
        <w:widowControl w:val="0"/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1) </w:t>
      </w:r>
      <w:r w:rsidR="008C2F37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объект розничной торговли (павильон, киоск) по продаже продовольственных и промышленных товаров, сельскохозяйственной продукции, хлебобулочных изделий, напитков, цветов; объект общественного питания; </w:t>
      </w:r>
      <w:r w:rsidR="007D4474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объект,</w:t>
      </w:r>
      <w:r w:rsidR="008C2F37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предназначенный для оказания бытовых и ритуальных услуг, объект придорожного сервиса.</w:t>
      </w:r>
    </w:p>
    <w:p w:rsidR="008C2F37" w:rsidRPr="008C2F37" w:rsidRDefault="00C35F9D" w:rsidP="00C35F9D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2) </w:t>
      </w:r>
      <w:r w:rsidR="008C2F37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летняя площадка (для размещения предприятия общественного питания для дополнительного обслуживания питанием).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38"/>
        </w:tabs>
        <w:spacing w:after="0" w:line="32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Предельные площади размещаемых НТО:</w:t>
      </w:r>
    </w:p>
    <w:p w:rsidR="008C2F37" w:rsidRPr="008C2F37" w:rsidRDefault="008C2F37" w:rsidP="00FE38FF">
      <w:pPr>
        <w:widowControl w:val="0"/>
        <w:numPr>
          <w:ilvl w:val="0"/>
          <w:numId w:val="12"/>
        </w:numPr>
        <w:tabs>
          <w:tab w:val="left" w:pos="1092"/>
        </w:tabs>
        <w:spacing w:after="0" w:line="280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павильон - 1</w:t>
      </w:r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spellStart"/>
      <w:proofErr w:type="gramStart"/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8C2F37" w:rsidRPr="008C2F37" w:rsidRDefault="008C2F37" w:rsidP="00FE38FF">
      <w:pPr>
        <w:widowControl w:val="0"/>
        <w:numPr>
          <w:ilvl w:val="0"/>
          <w:numId w:val="12"/>
        </w:numPr>
        <w:tabs>
          <w:tab w:val="left" w:pos="1092"/>
        </w:tabs>
        <w:spacing w:after="0" w:line="31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летняя площадка - 50 </w:t>
      </w:r>
      <w:proofErr w:type="spellStart"/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Соответствующий архитектурный тип, стилевое и цветовое оформление НТО определяется согласно Приложению 1 к Требованиям к размещению, с учетом п.4.8 настоящих Требований.</w:t>
      </w:r>
    </w:p>
    <w:p w:rsidR="008C2F37" w:rsidRPr="008C2F37" w:rsidRDefault="008C2F37" w:rsidP="00FE38FF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НТО должны выполняться из модульных или быстровозводимых конструкций, без устройства заглубленных фундаментов.</w:t>
      </w:r>
    </w:p>
    <w:p w:rsidR="008C2F37" w:rsidRPr="007B6E20" w:rsidRDefault="008C2F37" w:rsidP="007D4474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Каркас НТО должен изготавливаться из несущих сварных (сборных) металлических (стальных) конструкций. В конструкции силового каркаса должна быть предусмотрена возможность регулирования высоты НТО по каждой опорной точке не менее чем на 250 мм, для компенсации неровностей торговой площадки и обеспечения блокировки с другими НТО. Конструкция НТО должна обеспечивать возможность его перемещения и 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транспортировки пут</w:t>
      </w:r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 установки в верхней части рым-болтов (рым-гаек) или специальных кронштейнов. Фасадное и боковое остекление должно быть из металлопластиковых или алюминиевых конструкций со стеклопакетами из витринного стекла (простого или тонированного) с защитным антивандальным покрытием (пл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нкой). Все остекленные поверхности корпуса должны предусматривать установку защитных </w:t>
      </w:r>
      <w:r w:rsidR="007D4474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роллерных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систем (</w:t>
      </w:r>
      <w:r w:rsidR="007D4474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роль ставней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 с механическим или электроприводом. Для ограждения неостекл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ё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нных поверхностей НТО (включая основание) должны применяться сэндвич-панели толщиной не менее 50 мм с наполнителем из ж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сткого</w:t>
      </w:r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474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минерал</w:t>
      </w:r>
      <w:r w:rsidR="007D44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474"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ватного</w:t>
      </w:r>
      <w:r w:rsidRPr="008C2F3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утеплителя или уплотненного полистирола.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Цветовая гамма декоративных ограждающих поверхностей должна соответствовать установленным </w:t>
      </w:r>
      <w:r w:rsidR="007D4474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местной администрацией Чегемского муниципального района КБР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вариантам оформления и отделки нестационарного торгового объекта.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размещение НТО по индивидуальному архитектурному типу для защиты от атмосферных осадков конструкция НТО должна предусматривать козыр</w:t>
      </w:r>
      <w:r w:rsidR="007D4474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к с покрытием из свето</w:t>
      </w:r>
      <w:r w:rsidR="007D447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прозрачного или тонированного материала (монолитного или сотового поликарбоната) толщиной не менее 10 мм.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изготовления НТО и его отделки должны применяться современные сертифицированные материалы с соблюдением правил пожарной безопасности, имеющие качественную и прочную окраску, отделку и не изменяющие своих эстетических и эксплуатационных качеств в течение всего срока эксплуатации НТО. При этом не допускается применение кирпича, блоков, бетона (кроме незаглубленного фундамента), винилового сайдинга, оцинкованной и шиферной кровли, металлочерепицы.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объединения нескольких НТО в единый модуль различной конфигурации, в соответствие со схемами блокировки, а также для объектов, находящихся в одной торговой зоне, материалы внешней облицовки, соединительные декоративные элементы, общий козыр</w:t>
      </w:r>
      <w:r w:rsid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к, рама остекления, дверные блоки и другие видимые элементы должны быть изготовлены из идентичных конструкционных материалов. Цветовая гамма материалов внешнего покрытия всех НТО торговой зоны и сблокированных НТО должна точно соответствовать установленным вариантам отделки и оформления.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размещении НТО запрещается переоборудовать их конструкции, менять конфигурацию, увеличивать площадь и размеры объекта, ограждения и другие конструкции, а также запрещается организовывать фундамент объекта и нарушать благоустройство территории.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В конструкцию типовых НТО мелкорозничной торговли без согласования допускается вносить изменения, в части: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left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-конфигурации фасадного и бокового остекления, включая расположение и размеры окна выдачи товара, не меняя габаритных размеров остекления;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left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-установки дополнительных рам остекления на боковых поверхностях НТО, при отсутствии по этим сторонам других сблокированных НТО;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left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-расположения, размеров и типа (металлический, стеклянный) дверного блока.</w:t>
      </w:r>
    </w:p>
    <w:p w:rsidR="007B6E20" w:rsidRPr="007B6E20" w:rsidRDefault="007B6E20" w:rsidP="007D4474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необходимости размещенные НТО подлежат модернизации внешнего облика не чаще, чем один раз в три года без замены конструктивных элементов (только модернизация внешнего оформления).</w:t>
      </w:r>
    </w:p>
    <w:p w:rsidR="007B6E20" w:rsidRPr="007B6E20" w:rsidRDefault="00F71DCE" w:rsidP="00F71DCE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случае если архетип существующего НТО не соответствует архетипу, определенному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местной администрацией Чегемского муниципального района КБР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, то субъект розничной торговли получает рекомендации о необходимости приведения НТО в надлежащий вид в срок, определенный уполномоченным органом.</w:t>
      </w:r>
    </w:p>
    <w:p w:rsidR="007B6E20" w:rsidRPr="007B6E20" w:rsidRDefault="00201821" w:rsidP="00F71DCE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Размещение НТО по индивидуальному архитектурному типу может </w:t>
      </w:r>
      <w:r w:rsidR="00F71DCE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осуществляться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разработанному эскизу внешнего вида объекта, только после согласования с </w:t>
      </w:r>
      <w:r w:rsidR="00F71DCE" w:rsidRP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местной администрацией Чегемского муниципального района КБР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, с учетом рекомендуемых вариантов оформления и отделки.</w:t>
      </w:r>
    </w:p>
    <w:p w:rsidR="007B6E20" w:rsidRPr="007B6E20" w:rsidRDefault="00201821" w:rsidP="00F71DCE">
      <w:pPr>
        <w:widowControl w:val="0"/>
        <w:numPr>
          <w:ilvl w:val="1"/>
          <w:numId w:val="11"/>
        </w:numPr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Земельный участок для размещения НТО и прилегающая территория должны быть благоустроены. Основными элементами благоустройства НТО являются укладка тротуарной плитки, установка урны и скамьи, установка дополнительного</w:t>
      </w:r>
      <w:r w:rsid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B6E20"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уличного освещения и оборудование велосипедной парковки, озеленение территории, в случае необходимости устанавливается пешеходное ограждение.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4.16.</w:t>
      </w:r>
      <w:r w:rsidR="0020182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В обязательном порядке субъект торговли заключает со специализированной организацией договор на вывоз твердых коммунальных отходов.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4.17.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20182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установки двух и более отдельных НТО на расстоянии менее</w:t>
      </w:r>
      <w:r w:rsid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10 метров друг от друга или группой, необходимо выполнение проекта благоустройства территории на всю группу объектов. Заказчиком проекта благоустройства является победитель торгов (конкурса, аукциона) на право размещения НТО. В случае если группа объектов принадлежит разным лицам, выполнение проекта и работ по благоустройству осуществляется по соглашению между этими лицами.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5.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Перечень параметров для определения соответствия НТО (сблокированного НТО) установленным требованиям.</w:t>
      </w:r>
    </w:p>
    <w:p w:rsidR="00F71DCE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определении соответствия или несоответствия установленного в торговой зоне НТО типовому архитектурному решению применяются следующие критерии: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 w:rsid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соответствие внешнего вида НТО, определенному для данной торговой зоны типу НТО;</w:t>
      </w:r>
    </w:p>
    <w:p w:rsidR="007B6E20" w:rsidRPr="007B6E20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соответствие материалов внешней отделки и их цветовой гаммы, установленными </w:t>
      </w:r>
      <w:r w:rsidR="00F71DCE" w:rsidRPr="00F71DCE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местной администрацией Чегемского муниципального района КБР</w:t>
      </w: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7B6E20" w:rsidRDefault="007B6E20" w:rsidP="00F71DCE">
      <w:pPr>
        <w:widowControl w:val="0"/>
        <w:tabs>
          <w:tab w:val="left" w:pos="1438"/>
        </w:tabs>
        <w:spacing w:after="0" w:line="312" w:lineRule="exact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B6E20">
        <w:rPr>
          <w:rFonts w:ascii="Times New Roman" w:eastAsia="Arial Unicode MS" w:hAnsi="Times New Roman" w:cs="Times New Roman"/>
          <w:sz w:val="28"/>
          <w:szCs w:val="28"/>
          <w:lang w:eastAsia="ru-RU"/>
        </w:rPr>
        <w:t>-идентичность материалов внешней отделки, размеров соединительных декоративных элементов и общих конструкций для НТО.</w:t>
      </w:r>
    </w:p>
    <w:p w:rsid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B6E20" w:rsidRPr="004A549B" w:rsidRDefault="007B6E20" w:rsidP="007B6E20">
      <w:pPr>
        <w:widowControl w:val="0"/>
        <w:spacing w:after="0" w:line="278" w:lineRule="exact"/>
        <w:ind w:right="-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54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7B6E20" w:rsidRPr="004A549B" w:rsidRDefault="007B6E20" w:rsidP="007B6E20">
      <w:pPr>
        <w:widowControl w:val="0"/>
        <w:spacing w:after="0" w:line="278" w:lineRule="exact"/>
        <w:ind w:right="-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54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техническим требованиям</w:t>
      </w:r>
    </w:p>
    <w:p w:rsidR="007B6E20" w:rsidRPr="004A549B" w:rsidRDefault="007B6E20" w:rsidP="007B6E20">
      <w:pPr>
        <w:widowControl w:val="0"/>
        <w:spacing w:after="0" w:line="278" w:lineRule="exact"/>
        <w:ind w:right="-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54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 размещению НТО</w:t>
      </w:r>
    </w:p>
    <w:p w:rsidR="007B6E20" w:rsidRDefault="007B6E20" w:rsidP="007B6E20">
      <w:pPr>
        <w:widowControl w:val="0"/>
        <w:spacing w:after="0" w:line="278" w:lineRule="exact"/>
        <w:ind w:right="1180"/>
        <w:jc w:val="right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7B6E20" w:rsidRPr="007B6E20" w:rsidRDefault="007B6E20" w:rsidP="007B6E20">
      <w:pPr>
        <w:widowControl w:val="0"/>
        <w:spacing w:after="0" w:line="278" w:lineRule="exact"/>
        <w:ind w:right="1180"/>
        <w:jc w:val="right"/>
        <w:rPr>
          <w:rFonts w:ascii="Times New Roman" w:eastAsia="Arial Unicode MS" w:hAnsi="Times New Roman" w:cs="Times New Roman"/>
          <w:lang w:eastAsia="ru-RU"/>
        </w:rPr>
      </w:pPr>
    </w:p>
    <w:p w:rsidR="007B6E20" w:rsidRPr="007B6E20" w:rsidRDefault="007B6E20" w:rsidP="007B6E20">
      <w:pPr>
        <w:widowControl w:val="0"/>
        <w:tabs>
          <w:tab w:val="left" w:pos="1438"/>
        </w:tabs>
        <w:spacing w:after="0" w:line="312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44F33" w:rsidRPr="00A44F33" w:rsidRDefault="00A44F33" w:rsidP="00A44F33">
      <w:pPr>
        <w:widowControl w:val="0"/>
        <w:spacing w:after="0" w:line="317" w:lineRule="exac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F71D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Типовые проекты</w:t>
      </w:r>
    </w:p>
    <w:p w:rsidR="00A44F33" w:rsidRPr="00A44F33" w:rsidRDefault="00A44F33" w:rsidP="00A44F33">
      <w:pPr>
        <w:widowControl w:val="0"/>
        <w:spacing w:after="0" w:line="317" w:lineRule="exac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F71D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нестационарных торговых объектов на территории Чегемского муниципального района КБР</w:t>
      </w:r>
      <w:r w:rsidRPr="00F71D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44F33" w:rsidRPr="00A44F33" w:rsidRDefault="00A44F33" w:rsidP="00A44F33">
      <w:pPr>
        <w:widowControl w:val="0"/>
        <w:spacing w:after="0" w:line="300" w:lineRule="exact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F71DC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1. Павильон</w:t>
      </w:r>
      <w:bookmarkEnd w:id="1"/>
    </w:p>
    <w:p w:rsidR="00A44F33" w:rsidRPr="00A44F33" w:rsidRDefault="00A44F33" w:rsidP="00A44F33">
      <w:pPr>
        <w:framePr w:wrap="none" w:vAnchor="page" w:hAnchor="page" w:x="2099" w:y="4319"/>
        <w:widowControl w:val="0"/>
        <w:spacing w:after="0" w:line="240" w:lineRule="auto"/>
        <w:rPr>
          <w:rFonts w:ascii="Arial Unicode MS" w:eastAsia="Arial Unicode MS" w:hAnsi="Arial Unicode MS" w:cs="Arial Unicode MS"/>
          <w:sz w:val="2"/>
          <w:szCs w:val="2"/>
          <w:lang w:eastAsia="ru-RU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ru-RU"/>
        </w:rPr>
        <w:drawing>
          <wp:inline distT="0" distB="0" distL="0" distR="0">
            <wp:extent cx="5181600" cy="4023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F6E" w:rsidRDefault="00DC0F6E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A44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B60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A44F33">
      <w:pPr>
        <w:widowControl w:val="0"/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4F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Варианты оформления и отделки</w:t>
      </w:r>
    </w:p>
    <w:p w:rsidR="00A44F33" w:rsidRPr="00A44F33" w:rsidRDefault="00A44F33" w:rsidP="00A44F33">
      <w:pPr>
        <w:widowControl w:val="0"/>
        <w:spacing w:after="0" w:line="280" w:lineRule="exac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64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2621"/>
        <w:gridCol w:w="2597"/>
        <w:gridCol w:w="2616"/>
      </w:tblGrid>
      <w:tr w:rsidR="00A44F33" w:rsidRPr="00F71DCE" w:rsidTr="00A44F33">
        <w:trPr>
          <w:trHeight w:hRule="exact" w:val="912"/>
        </w:trPr>
        <w:tc>
          <w:tcPr>
            <w:tcW w:w="2630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12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Наименование</w:t>
            </w:r>
          </w:p>
          <w:p w:rsidR="00A44F33" w:rsidRPr="00F71DCE" w:rsidRDefault="00A44F33" w:rsidP="00A44F33">
            <w:pPr>
              <w:pStyle w:val="21"/>
              <w:shd w:val="clear" w:color="auto" w:fill="auto"/>
              <w:spacing w:before="120" w:after="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элемента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Цвет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Материал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120" w:line="240" w:lineRule="exact"/>
              <w:ind w:left="300"/>
              <w:jc w:val="lef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Альтернативный</w:t>
            </w:r>
          </w:p>
          <w:p w:rsidR="00A44F33" w:rsidRPr="00F71DCE" w:rsidRDefault="00A44F33" w:rsidP="00A44F33">
            <w:pPr>
              <w:pStyle w:val="21"/>
              <w:shd w:val="clear" w:color="auto" w:fill="auto"/>
              <w:spacing w:before="120" w:after="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материал</w:t>
            </w:r>
          </w:p>
        </w:tc>
      </w:tr>
      <w:tr w:rsidR="00A44F33" w:rsidRPr="00F71DCE" w:rsidTr="00A44F33">
        <w:trPr>
          <w:trHeight w:hRule="exact" w:val="1166"/>
        </w:trPr>
        <w:tc>
          <w:tcPr>
            <w:tcW w:w="2630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Обшивка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83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Сигнальный красный (допускаются оттенки рубиново-красный, вино-красный)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Дерево</w:t>
            </w:r>
          </w:p>
        </w:tc>
      </w:tr>
      <w:tr w:rsidR="00A44F33" w:rsidRPr="00F71DCE" w:rsidTr="00A44F33">
        <w:trPr>
          <w:trHeight w:hRule="exact" w:val="307"/>
        </w:trPr>
        <w:tc>
          <w:tcPr>
            <w:tcW w:w="2630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40" w:lineRule="exact"/>
              <w:ind w:left="280"/>
              <w:jc w:val="lef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Окна, двери, стойки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597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proofErr w:type="spellStart"/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Металлопластик</w:t>
            </w:r>
            <w:proofErr w:type="spellEnd"/>
          </w:p>
        </w:tc>
        <w:tc>
          <w:tcPr>
            <w:tcW w:w="2616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Алюминий, Дерево</w:t>
            </w:r>
          </w:p>
        </w:tc>
      </w:tr>
      <w:tr w:rsidR="00A44F33" w:rsidRPr="00F71DCE" w:rsidTr="00A44F33">
        <w:trPr>
          <w:trHeight w:hRule="exact" w:val="610"/>
        </w:trPr>
        <w:tc>
          <w:tcPr>
            <w:tcW w:w="2630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312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lastRenderedPageBreak/>
              <w:t>Подшивка кровли, козырек</w:t>
            </w:r>
          </w:p>
        </w:tc>
        <w:tc>
          <w:tcPr>
            <w:tcW w:w="2621" w:type="dxa"/>
            <w:shd w:val="clear" w:color="auto" w:fill="FFFFFF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597" w:type="dxa"/>
            <w:shd w:val="clear" w:color="auto" w:fill="FFFFFF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2616" w:type="dxa"/>
            <w:shd w:val="clear" w:color="auto" w:fill="FFFFFF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Алюминий, Дерево</w:t>
            </w:r>
          </w:p>
        </w:tc>
      </w:tr>
      <w:tr w:rsidR="00A44F33" w:rsidRPr="00F71DCE" w:rsidTr="00A44F33">
        <w:trPr>
          <w:trHeight w:hRule="exact" w:val="1176"/>
        </w:trPr>
        <w:tc>
          <w:tcPr>
            <w:tcW w:w="2630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F71DCE">
              <w:rPr>
                <w:rStyle w:val="212pt"/>
                <w:rFonts w:eastAsia="Arial Unicode MS"/>
                <w:color w:val="000000"/>
              </w:rPr>
              <w:t>Кровля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88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Сигнальный красный (допускаются оттенки рубиново-красный, вино-красный)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Металл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44F33" w:rsidRPr="00F71DCE" w:rsidRDefault="00A44F33" w:rsidP="00A44F33">
            <w:pPr>
              <w:pStyle w:val="21"/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  <w:r w:rsidRPr="00F71DCE">
              <w:rPr>
                <w:rStyle w:val="211pt"/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</w:tr>
    </w:tbl>
    <w:p w:rsidR="00A44F33" w:rsidRPr="00F71DCE" w:rsidRDefault="00A44F33" w:rsidP="00A4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4F33" w:rsidRPr="00A44F33" w:rsidRDefault="00A44F33" w:rsidP="00A4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F33">
        <w:rPr>
          <w:rFonts w:ascii="Times New Roman" w:eastAsia="Times New Roman" w:hAnsi="Times New Roman" w:cs="Times New Roman"/>
          <w:sz w:val="28"/>
          <w:szCs w:val="28"/>
        </w:rPr>
        <w:t>2. Летняя площадка</w:t>
      </w:r>
    </w:p>
    <w:p w:rsidR="00A44F33" w:rsidRDefault="00A44F33" w:rsidP="00A4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F33">
        <w:rPr>
          <w:rFonts w:ascii="Times New Roman" w:eastAsia="Times New Roman" w:hAnsi="Times New Roman" w:cs="Times New Roman"/>
          <w:sz w:val="28"/>
          <w:szCs w:val="28"/>
        </w:rPr>
        <w:t xml:space="preserve">(для размещения </w:t>
      </w:r>
      <w:r w:rsidR="00F71DCE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Pr="00A44F33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питания, для дополнительного</w:t>
      </w:r>
      <w:r w:rsidR="00F71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F33">
        <w:rPr>
          <w:rFonts w:ascii="Times New Roman" w:eastAsia="Times New Roman" w:hAnsi="Times New Roman" w:cs="Times New Roman"/>
          <w:sz w:val="28"/>
          <w:szCs w:val="28"/>
        </w:rPr>
        <w:t>обслуживания питанием)</w:t>
      </w:r>
    </w:p>
    <w:p w:rsidR="00A44F33" w:rsidRDefault="00A44F33" w:rsidP="00A4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4F33" w:rsidRDefault="00A44F33" w:rsidP="00A4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0DB15">
            <wp:extent cx="5590540" cy="4199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419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4F33" w:rsidSect="00047C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2378624B"/>
    <w:multiLevelType w:val="hybridMultilevel"/>
    <w:tmpl w:val="1C5AEE88"/>
    <w:lvl w:ilvl="0" w:tplc="8E92F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B64836"/>
    <w:multiLevelType w:val="multilevel"/>
    <w:tmpl w:val="1F847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B02038"/>
    <w:multiLevelType w:val="multilevel"/>
    <w:tmpl w:val="32EA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CD4C52"/>
    <w:multiLevelType w:val="hybridMultilevel"/>
    <w:tmpl w:val="EE389DD6"/>
    <w:lvl w:ilvl="0" w:tplc="5A96BD9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50A63E48"/>
    <w:multiLevelType w:val="hybridMultilevel"/>
    <w:tmpl w:val="1EB20CD8"/>
    <w:lvl w:ilvl="0" w:tplc="639E1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8405578"/>
    <w:multiLevelType w:val="multilevel"/>
    <w:tmpl w:val="26D8B9E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43F0F81"/>
    <w:multiLevelType w:val="hybridMultilevel"/>
    <w:tmpl w:val="49582982"/>
    <w:lvl w:ilvl="0" w:tplc="711C9D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69C4771"/>
    <w:multiLevelType w:val="hybridMultilevel"/>
    <w:tmpl w:val="193EA580"/>
    <w:lvl w:ilvl="0" w:tplc="237C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F67B0E"/>
    <w:multiLevelType w:val="hybridMultilevel"/>
    <w:tmpl w:val="8B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07272"/>
    <w:rsid w:val="000335A2"/>
    <w:rsid w:val="00047C9A"/>
    <w:rsid w:val="00057300"/>
    <w:rsid w:val="00057D14"/>
    <w:rsid w:val="000618B5"/>
    <w:rsid w:val="00071CD0"/>
    <w:rsid w:val="000D42BC"/>
    <w:rsid w:val="000F70A8"/>
    <w:rsid w:val="001475A4"/>
    <w:rsid w:val="00165B65"/>
    <w:rsid w:val="001D1C0D"/>
    <w:rsid w:val="001E3A27"/>
    <w:rsid w:val="00201821"/>
    <w:rsid w:val="002262BE"/>
    <w:rsid w:val="002359E7"/>
    <w:rsid w:val="00274A85"/>
    <w:rsid w:val="0027769C"/>
    <w:rsid w:val="0028725F"/>
    <w:rsid w:val="002B3ED7"/>
    <w:rsid w:val="00304A5B"/>
    <w:rsid w:val="003074B3"/>
    <w:rsid w:val="00313064"/>
    <w:rsid w:val="003164FB"/>
    <w:rsid w:val="00347FB0"/>
    <w:rsid w:val="00350872"/>
    <w:rsid w:val="003C3A8E"/>
    <w:rsid w:val="003E69AB"/>
    <w:rsid w:val="003F3B51"/>
    <w:rsid w:val="003F6446"/>
    <w:rsid w:val="004062BC"/>
    <w:rsid w:val="00435EC9"/>
    <w:rsid w:val="00442C3A"/>
    <w:rsid w:val="0044548E"/>
    <w:rsid w:val="00454945"/>
    <w:rsid w:val="004A4AF2"/>
    <w:rsid w:val="004A549B"/>
    <w:rsid w:val="004C02B0"/>
    <w:rsid w:val="004F4D39"/>
    <w:rsid w:val="00500033"/>
    <w:rsid w:val="00506BBB"/>
    <w:rsid w:val="00514A71"/>
    <w:rsid w:val="005300EE"/>
    <w:rsid w:val="005440AE"/>
    <w:rsid w:val="005444CD"/>
    <w:rsid w:val="0055064A"/>
    <w:rsid w:val="00583489"/>
    <w:rsid w:val="005C61DD"/>
    <w:rsid w:val="00603467"/>
    <w:rsid w:val="006749DF"/>
    <w:rsid w:val="0068198F"/>
    <w:rsid w:val="00681E8A"/>
    <w:rsid w:val="00685786"/>
    <w:rsid w:val="006C79DD"/>
    <w:rsid w:val="00710EB8"/>
    <w:rsid w:val="00742ECC"/>
    <w:rsid w:val="007B6E20"/>
    <w:rsid w:val="007C2BD7"/>
    <w:rsid w:val="007C51E6"/>
    <w:rsid w:val="007D4474"/>
    <w:rsid w:val="008C0BB4"/>
    <w:rsid w:val="008C2F37"/>
    <w:rsid w:val="008C4D2D"/>
    <w:rsid w:val="008D0270"/>
    <w:rsid w:val="0090614D"/>
    <w:rsid w:val="00932EC4"/>
    <w:rsid w:val="0099165C"/>
    <w:rsid w:val="009A1C62"/>
    <w:rsid w:val="009C71AF"/>
    <w:rsid w:val="009D01F6"/>
    <w:rsid w:val="009E0125"/>
    <w:rsid w:val="009F3C3D"/>
    <w:rsid w:val="009F504E"/>
    <w:rsid w:val="00A05B06"/>
    <w:rsid w:val="00A13F3A"/>
    <w:rsid w:val="00A44F33"/>
    <w:rsid w:val="00A64C9D"/>
    <w:rsid w:val="00A871CE"/>
    <w:rsid w:val="00AD13AA"/>
    <w:rsid w:val="00AD240A"/>
    <w:rsid w:val="00AE2B44"/>
    <w:rsid w:val="00B1446C"/>
    <w:rsid w:val="00B172F7"/>
    <w:rsid w:val="00B4390B"/>
    <w:rsid w:val="00B570E5"/>
    <w:rsid w:val="00B60454"/>
    <w:rsid w:val="00B80FA1"/>
    <w:rsid w:val="00B85BA1"/>
    <w:rsid w:val="00BA192F"/>
    <w:rsid w:val="00BB20E9"/>
    <w:rsid w:val="00BC7D9E"/>
    <w:rsid w:val="00C35F9D"/>
    <w:rsid w:val="00C37694"/>
    <w:rsid w:val="00CA7EA5"/>
    <w:rsid w:val="00D02C93"/>
    <w:rsid w:val="00D36EF1"/>
    <w:rsid w:val="00D54502"/>
    <w:rsid w:val="00D70B03"/>
    <w:rsid w:val="00DA48A9"/>
    <w:rsid w:val="00DB435A"/>
    <w:rsid w:val="00DC0F6E"/>
    <w:rsid w:val="00DF3EC0"/>
    <w:rsid w:val="00E07516"/>
    <w:rsid w:val="00E11B10"/>
    <w:rsid w:val="00E15031"/>
    <w:rsid w:val="00E236D6"/>
    <w:rsid w:val="00E54EA3"/>
    <w:rsid w:val="00E63452"/>
    <w:rsid w:val="00EA757C"/>
    <w:rsid w:val="00EB37EF"/>
    <w:rsid w:val="00ED4E28"/>
    <w:rsid w:val="00ED6F05"/>
    <w:rsid w:val="00EE34AE"/>
    <w:rsid w:val="00EF5F54"/>
    <w:rsid w:val="00F065FC"/>
    <w:rsid w:val="00F409BE"/>
    <w:rsid w:val="00F57B6E"/>
    <w:rsid w:val="00F71DCE"/>
    <w:rsid w:val="00F73123"/>
    <w:rsid w:val="00F751AC"/>
    <w:rsid w:val="00F77351"/>
    <w:rsid w:val="00F873AB"/>
    <w:rsid w:val="00F96495"/>
    <w:rsid w:val="00FA4BE4"/>
    <w:rsid w:val="00FD30E2"/>
    <w:rsid w:val="00FE38FF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44425-3654-477C-919E-CADF8252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rsid w:val="001D1C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C0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1D1C0D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D1C0D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40">
    <w:name w:val="Основной текст (4)_"/>
    <w:basedOn w:val="a0"/>
    <w:rsid w:val="00147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rsid w:val="00B85B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85BA1"/>
    <w:pPr>
      <w:widowControl w:val="0"/>
      <w:shd w:val="clear" w:color="auto" w:fill="FFFFFF"/>
      <w:spacing w:before="300" w:after="540" w:line="331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uiPriority w:val="99"/>
    <w:rsid w:val="005C61DD"/>
    <w:pPr>
      <w:widowControl w:val="0"/>
      <w:shd w:val="clear" w:color="auto" w:fill="FFFFFF"/>
      <w:spacing w:before="300" w:after="300" w:line="322" w:lineRule="exact"/>
      <w:jc w:val="center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A44F3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A44F33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</cp:lastModifiedBy>
  <cp:revision>2</cp:revision>
  <cp:lastPrinted>2025-11-26T06:43:00Z</cp:lastPrinted>
  <dcterms:created xsi:type="dcterms:W3CDTF">2025-12-25T08:29:00Z</dcterms:created>
  <dcterms:modified xsi:type="dcterms:W3CDTF">2025-12-25T08:29:00Z</dcterms:modified>
</cp:coreProperties>
</file>